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A48B4" w14:textId="6CA76311" w:rsidR="00F24F28" w:rsidRPr="00B17111" w:rsidRDefault="00F24F28" w:rsidP="007A69C2">
      <w:pPr>
        <w:pStyle w:val="NormalWeb"/>
        <w:shd w:val="clear" w:color="auto" w:fill="FFFFFF"/>
        <w:spacing w:before="0" w:beforeAutospacing="0" w:after="375" w:afterAutospacing="0"/>
        <w:rPr>
          <w:rFonts w:ascii="Calibri" w:hAnsi="Calibri" w:cs="Calibri"/>
          <w:b/>
          <w:bCs/>
          <w:color w:val="3D4C75"/>
          <w:sz w:val="28"/>
          <w:szCs w:val="28"/>
        </w:rPr>
      </w:pPr>
      <w:r w:rsidRPr="00B17111">
        <w:rPr>
          <w:rFonts w:ascii="Calibri" w:hAnsi="Calibri" w:cs="Calibri"/>
          <w:b/>
          <w:bCs/>
          <w:color w:val="3D4C75"/>
          <w:sz w:val="28"/>
          <w:szCs w:val="28"/>
        </w:rPr>
        <w:t xml:space="preserve">Briefing and </w:t>
      </w:r>
      <w:r w:rsidR="00803AE6" w:rsidRPr="00B17111">
        <w:rPr>
          <w:rFonts w:ascii="Calibri" w:hAnsi="Calibri" w:cs="Calibri"/>
          <w:b/>
          <w:bCs/>
          <w:color w:val="3D4C75"/>
          <w:sz w:val="28"/>
          <w:szCs w:val="28"/>
        </w:rPr>
        <w:t xml:space="preserve">Martyn’s Law eligibility tool results, which further indicate the arish council venues are </w:t>
      </w:r>
      <w:r w:rsidR="00813B29" w:rsidRPr="00B17111">
        <w:rPr>
          <w:rFonts w:ascii="Calibri" w:hAnsi="Calibri" w:cs="Calibri"/>
          <w:b/>
          <w:bCs/>
          <w:color w:val="3D4C75"/>
          <w:sz w:val="28"/>
          <w:szCs w:val="28"/>
        </w:rPr>
        <w:t>‘</w:t>
      </w:r>
      <w:r w:rsidR="00803AE6" w:rsidRPr="00B17111">
        <w:rPr>
          <w:rFonts w:ascii="Calibri" w:hAnsi="Calibri" w:cs="Calibri"/>
          <w:b/>
          <w:bCs/>
          <w:color w:val="3D4C75"/>
          <w:sz w:val="28"/>
          <w:szCs w:val="28"/>
        </w:rPr>
        <w:t>out of the scope</w:t>
      </w:r>
      <w:r w:rsidR="00813B29" w:rsidRPr="00B17111">
        <w:rPr>
          <w:rFonts w:ascii="Calibri" w:hAnsi="Calibri" w:cs="Calibri"/>
          <w:b/>
          <w:bCs/>
          <w:color w:val="3D4C75"/>
          <w:sz w:val="28"/>
          <w:szCs w:val="28"/>
        </w:rPr>
        <w:t>’</w:t>
      </w:r>
      <w:r w:rsidR="00803AE6" w:rsidRPr="00B17111">
        <w:rPr>
          <w:rFonts w:ascii="Calibri" w:hAnsi="Calibri" w:cs="Calibri"/>
          <w:b/>
          <w:bCs/>
          <w:color w:val="3D4C75"/>
          <w:sz w:val="28"/>
          <w:szCs w:val="28"/>
        </w:rPr>
        <w:t xml:space="preserve"> for the </w:t>
      </w:r>
      <w:r w:rsidR="00813B29" w:rsidRPr="00B17111">
        <w:rPr>
          <w:rFonts w:ascii="Calibri" w:hAnsi="Calibri" w:cs="Calibri"/>
          <w:b/>
          <w:bCs/>
          <w:color w:val="3D4C75"/>
          <w:sz w:val="28"/>
          <w:szCs w:val="28"/>
        </w:rPr>
        <w:t>improved security measures.</w:t>
      </w:r>
    </w:p>
    <w:p w14:paraId="58E4E842" w14:textId="67F33878" w:rsidR="007A69C2" w:rsidRPr="00CA0374" w:rsidRDefault="007A69C2" w:rsidP="007A69C2">
      <w:pPr>
        <w:pStyle w:val="NormalWeb"/>
        <w:shd w:val="clear" w:color="auto" w:fill="FFFFFF"/>
        <w:spacing w:before="0" w:beforeAutospacing="0" w:after="375" w:afterAutospacing="0"/>
        <w:rPr>
          <w:rFonts w:ascii="Calibri" w:hAnsi="Calibri" w:cs="Calibri"/>
          <w:color w:val="3D4C75"/>
          <w:sz w:val="22"/>
          <w:szCs w:val="22"/>
        </w:rPr>
      </w:pPr>
      <w:r w:rsidRPr="00CA0374">
        <w:rPr>
          <w:rFonts w:ascii="Calibri" w:hAnsi="Calibri" w:cs="Calibri"/>
          <w:color w:val="3D4C75"/>
          <w:sz w:val="22"/>
          <w:szCs w:val="22"/>
        </w:rPr>
        <w:t>On Thursday 3 April 2025, the Terrorism (Protection of Premises) Act 2025, commonly known as Martyn’s Law, received Royal Assent. This landmark legislation aims to enhance public safety across the UK, by mandating improved security measures at public venues and events, thereby reducing the risk of terrorist attacks.</w:t>
      </w:r>
    </w:p>
    <w:p w14:paraId="57EF3C27" w14:textId="77777777" w:rsidR="00CA0374" w:rsidRDefault="007A69C2" w:rsidP="00CA0374">
      <w:pPr>
        <w:pStyle w:val="NormalWeb"/>
        <w:shd w:val="clear" w:color="auto" w:fill="FFFFFF"/>
        <w:spacing w:before="0" w:beforeAutospacing="0" w:after="375" w:afterAutospacing="0"/>
        <w:rPr>
          <w:rFonts w:ascii="Calibri" w:hAnsi="Calibri" w:cs="Calibri"/>
          <w:color w:val="3D4C75"/>
          <w:sz w:val="22"/>
          <w:szCs w:val="22"/>
        </w:rPr>
      </w:pPr>
      <w:r w:rsidRPr="00CA0374">
        <w:rPr>
          <w:rFonts w:ascii="Calibri" w:hAnsi="Calibri" w:cs="Calibri"/>
          <w:color w:val="3D4C75"/>
          <w:sz w:val="22"/>
          <w:szCs w:val="22"/>
        </w:rPr>
        <w:t>Martyn’s Law, named in memory of Martyn Hett, who was one of 22 people tragically killed in the Manchester Arena terrorist attack in 2017, represents a significant step forward in protecting the public from the threat of terrorism. The Act introduces proportionate and practical measures, including a tiered approach to security based on the size and capacity of venues.</w:t>
      </w:r>
    </w:p>
    <w:p w14:paraId="7F8E1814" w14:textId="1582D9EE" w:rsidR="00D67302" w:rsidRPr="00CA0374" w:rsidRDefault="00D67302" w:rsidP="00CA0374">
      <w:pPr>
        <w:pStyle w:val="NormalWeb"/>
        <w:shd w:val="clear" w:color="auto" w:fill="FFFFFF"/>
        <w:spacing w:before="0" w:beforeAutospacing="0" w:after="375" w:afterAutospacing="0"/>
        <w:rPr>
          <w:rFonts w:ascii="Calibri" w:hAnsi="Calibri" w:cs="Calibri"/>
          <w:b/>
          <w:bCs/>
          <w:color w:val="3D4C75"/>
          <w:spacing w:val="4"/>
          <w:sz w:val="22"/>
          <w:szCs w:val="22"/>
        </w:rPr>
      </w:pPr>
      <w:r w:rsidRPr="00CA0374">
        <w:rPr>
          <w:rFonts w:ascii="Calibri" w:hAnsi="Calibri" w:cs="Calibri"/>
          <w:b/>
          <w:bCs/>
          <w:color w:val="3D4C75"/>
          <w:spacing w:val="4"/>
          <w:sz w:val="22"/>
          <w:szCs w:val="22"/>
        </w:rPr>
        <w:t>Martyn's Law Tool</w:t>
      </w:r>
    </w:p>
    <w:p w14:paraId="093EBFDD" w14:textId="77777777" w:rsidR="00D67302" w:rsidRPr="00CA0374" w:rsidRDefault="00D67302" w:rsidP="00D67302">
      <w:pPr>
        <w:shd w:val="clear" w:color="auto" w:fill="FFFFFF"/>
        <w:spacing w:after="375"/>
        <w:rPr>
          <w:rFonts w:ascii="Calibri" w:hAnsi="Calibri" w:cs="Calibri"/>
          <w:color w:val="3D4C75"/>
          <w:sz w:val="22"/>
          <w:szCs w:val="22"/>
          <w:lang w:eastAsia="en-GB"/>
        </w:rPr>
      </w:pPr>
      <w:r w:rsidRPr="00CA0374">
        <w:rPr>
          <w:rFonts w:ascii="Calibri" w:hAnsi="Calibri" w:cs="Calibri"/>
          <w:color w:val="3D4C75"/>
          <w:sz w:val="22"/>
          <w:szCs w:val="22"/>
          <w:lang w:eastAsia="en-GB"/>
        </w:rPr>
        <w:t>Understanding if the provisions of Martyn’s Law apply to a specific event or a particular premises can be a complicated process. Our new tool simplifies the process, saving you time and giving you confidence in the decisions that you make with it. Just click through a simple set of questions and based on the answers selected, it will tell you if your event is in scope of the provisions of the Act and provides further information if required.</w:t>
      </w:r>
    </w:p>
    <w:p w14:paraId="475339DB" w14:textId="77777777" w:rsidR="00D67302" w:rsidRPr="00CA0374" w:rsidRDefault="00D67302" w:rsidP="00D67302">
      <w:pPr>
        <w:shd w:val="clear" w:color="auto" w:fill="144EA1"/>
        <w:jc w:val="right"/>
        <w:rPr>
          <w:rFonts w:ascii="Calibri" w:hAnsi="Calibri" w:cs="Calibri"/>
          <w:color w:val="FFFFFF"/>
          <w:sz w:val="22"/>
          <w:szCs w:val="22"/>
          <w:lang w:eastAsia="en-GB"/>
        </w:rPr>
      </w:pPr>
      <w:r w:rsidRPr="00CA0374">
        <w:rPr>
          <w:rFonts w:ascii="Calibri" w:hAnsi="Calibri" w:cs="Calibri"/>
          <w:color w:val="FFFFFF"/>
          <w:sz w:val="22"/>
          <w:szCs w:val="22"/>
          <w:lang w:eastAsia="en-GB"/>
        </w:rPr>
        <w:t>How to determine whether your premises are in scope of the Act.</w:t>
      </w:r>
    </w:p>
    <w:p w14:paraId="5EDF65B7" w14:textId="77777777" w:rsidR="00D67302" w:rsidRPr="00CA0374" w:rsidRDefault="00D67302" w:rsidP="00D67302">
      <w:pPr>
        <w:shd w:val="clear" w:color="auto" w:fill="F0F0F0"/>
        <w:spacing w:after="375"/>
        <w:rPr>
          <w:rFonts w:ascii="Calibri" w:hAnsi="Calibri" w:cs="Calibri"/>
          <w:color w:val="333333"/>
          <w:sz w:val="22"/>
          <w:szCs w:val="22"/>
          <w:lang w:eastAsia="en-GB"/>
        </w:rPr>
      </w:pPr>
      <w:r w:rsidRPr="00CA0374">
        <w:rPr>
          <w:rFonts w:ascii="Calibri" w:hAnsi="Calibri" w:cs="Calibri"/>
          <w:color w:val="333333"/>
          <w:sz w:val="22"/>
          <w:szCs w:val="22"/>
          <w:lang w:eastAsia="en-GB"/>
        </w:rPr>
        <w:t>Do the premises consist of a building, part of a building, or a building and other land?</w:t>
      </w:r>
    </w:p>
    <w:p w14:paraId="3B4E118C" w14:textId="77777777" w:rsidR="00D67302" w:rsidRPr="00CA0374" w:rsidRDefault="00D67302" w:rsidP="00D67302">
      <w:pPr>
        <w:shd w:val="clear" w:color="auto" w:fill="F0F0F0"/>
        <w:rPr>
          <w:rFonts w:ascii="Calibri" w:hAnsi="Calibri" w:cs="Calibri"/>
          <w:color w:val="333333"/>
          <w:sz w:val="22"/>
          <w:szCs w:val="22"/>
          <w:lang w:eastAsia="en-GB"/>
        </w:rPr>
      </w:pPr>
      <w:r w:rsidRPr="00CA0374">
        <w:rPr>
          <w:rFonts w:ascii="Calibri" w:hAnsi="Calibri" w:cs="Calibri"/>
          <w:color w:val="333333"/>
          <w:sz w:val="22"/>
          <w:szCs w:val="22"/>
          <w:lang w:eastAsia="en-GB"/>
        </w:rPr>
        <w:t>The definition of premises can be found in </w:t>
      </w:r>
      <w:hyperlink r:id="rId5" w:tgtFrame="_blank" w:history="1">
        <w:r w:rsidRPr="00CA0374">
          <w:rPr>
            <w:rFonts w:ascii="Calibri" w:hAnsi="Calibri" w:cs="Calibri"/>
            <w:color w:val="EE454D"/>
            <w:sz w:val="22"/>
            <w:szCs w:val="22"/>
            <w:lang w:eastAsia="en-GB"/>
          </w:rPr>
          <w:t>section 2(2) of the Act</w:t>
        </w:r>
      </w:hyperlink>
      <w:r w:rsidRPr="00CA0374">
        <w:rPr>
          <w:rFonts w:ascii="Calibri" w:hAnsi="Calibri" w:cs="Calibri"/>
          <w:color w:val="333333"/>
          <w:sz w:val="22"/>
          <w:szCs w:val="22"/>
          <w:lang w:eastAsia="en-GB"/>
        </w:rPr>
        <w:t>. </w:t>
      </w:r>
    </w:p>
    <w:p w14:paraId="3D03E933" w14:textId="77777777" w:rsidR="00D67302" w:rsidRPr="00CA0374" w:rsidRDefault="00D67302" w:rsidP="00D67302">
      <w:pPr>
        <w:shd w:val="clear" w:color="auto" w:fill="144EA1"/>
        <w:jc w:val="right"/>
        <w:rPr>
          <w:rFonts w:ascii="Calibri" w:hAnsi="Calibri" w:cs="Calibri"/>
          <w:color w:val="FFFFFF"/>
          <w:sz w:val="22"/>
          <w:szCs w:val="22"/>
          <w:lang w:eastAsia="en-GB"/>
        </w:rPr>
      </w:pPr>
      <w:r w:rsidRPr="00CA0374">
        <w:rPr>
          <w:rFonts w:ascii="Calibri" w:hAnsi="Calibri" w:cs="Calibri"/>
          <w:color w:val="FFFFFF"/>
          <w:sz w:val="22"/>
          <w:szCs w:val="22"/>
          <w:lang w:eastAsia="en-GB"/>
        </w:rPr>
        <w:t>Yes</w:t>
      </w:r>
    </w:p>
    <w:p w14:paraId="5A160BFD" w14:textId="77777777" w:rsidR="00D67302" w:rsidRPr="00CA0374" w:rsidRDefault="00D67302" w:rsidP="00D67302">
      <w:pPr>
        <w:shd w:val="clear" w:color="auto" w:fill="F0F0F0"/>
        <w:spacing w:after="375"/>
        <w:rPr>
          <w:rFonts w:ascii="Calibri" w:hAnsi="Calibri" w:cs="Calibri"/>
          <w:color w:val="333333"/>
          <w:sz w:val="22"/>
          <w:szCs w:val="22"/>
          <w:lang w:eastAsia="en-GB"/>
        </w:rPr>
      </w:pPr>
      <w:r w:rsidRPr="00CA0374">
        <w:rPr>
          <w:rFonts w:ascii="Calibri" w:hAnsi="Calibri" w:cs="Calibri"/>
          <w:color w:val="333333"/>
          <w:sz w:val="22"/>
          <w:szCs w:val="22"/>
          <w:lang w:eastAsia="en-GB"/>
        </w:rPr>
        <w:t>Are the premises wholly or mainly used for at least one qualifying use, as set out in </w:t>
      </w:r>
      <w:hyperlink r:id="rId6" w:tgtFrame="_blank" w:history="1">
        <w:r w:rsidRPr="00CA0374">
          <w:rPr>
            <w:rFonts w:ascii="Calibri" w:hAnsi="Calibri" w:cs="Calibri"/>
            <w:color w:val="EE454D"/>
            <w:sz w:val="22"/>
            <w:szCs w:val="22"/>
            <w:lang w:eastAsia="en-GB"/>
          </w:rPr>
          <w:t>Schedule 1 to the Act</w:t>
        </w:r>
      </w:hyperlink>
      <w:r w:rsidRPr="00CA0374">
        <w:rPr>
          <w:rFonts w:ascii="Calibri" w:hAnsi="Calibri" w:cs="Calibri"/>
          <w:color w:val="333333"/>
          <w:sz w:val="22"/>
          <w:szCs w:val="22"/>
          <w:lang w:eastAsia="en-GB"/>
        </w:rPr>
        <w:t>?</w:t>
      </w:r>
    </w:p>
    <w:p w14:paraId="1AD6C72C" w14:textId="77777777" w:rsidR="00D67302" w:rsidRPr="00CA0374" w:rsidRDefault="00D67302" w:rsidP="00D67302">
      <w:pPr>
        <w:shd w:val="clear" w:color="auto" w:fill="F0F0F0"/>
        <w:rPr>
          <w:rFonts w:ascii="Calibri" w:hAnsi="Calibri" w:cs="Calibri"/>
          <w:color w:val="333333"/>
          <w:sz w:val="22"/>
          <w:szCs w:val="22"/>
          <w:lang w:eastAsia="en-GB"/>
        </w:rPr>
      </w:pPr>
      <w:r w:rsidRPr="00CA0374">
        <w:rPr>
          <w:rFonts w:ascii="Calibri" w:hAnsi="Calibri" w:cs="Calibri"/>
          <w:color w:val="333333"/>
          <w:sz w:val="22"/>
          <w:szCs w:val="22"/>
          <w:lang w:eastAsia="en-GB"/>
        </w:rPr>
        <w:t>The categories of use set out in Schedule 1 to the Act are: 1. shops etc .; 2. food and drink 3. entertainment and leisure activities; 4. sports grounds; 5. libraries, museums and galleries; 6. halls etc .; 7. visitor attractions; 8. hotels etc.; 9. places of worship; 10. health care; 11. bus stations, railways etc .; 12. Aerodromes; 13. childcare; 14. primary and secondary education; 15. further education; 16. higher education 17. public authorities.</w:t>
      </w:r>
    </w:p>
    <w:p w14:paraId="3CA3A9CB" w14:textId="77777777" w:rsidR="00D67302" w:rsidRPr="00CA0374" w:rsidRDefault="00D67302" w:rsidP="00D67302">
      <w:pPr>
        <w:shd w:val="clear" w:color="auto" w:fill="144EA1"/>
        <w:jc w:val="right"/>
        <w:rPr>
          <w:rFonts w:ascii="Calibri" w:hAnsi="Calibri" w:cs="Calibri"/>
          <w:color w:val="FFFFFF"/>
          <w:sz w:val="22"/>
          <w:szCs w:val="22"/>
          <w:lang w:eastAsia="en-GB"/>
        </w:rPr>
      </w:pPr>
      <w:r w:rsidRPr="00CA0374">
        <w:rPr>
          <w:rFonts w:ascii="Calibri" w:hAnsi="Calibri" w:cs="Calibri"/>
          <w:color w:val="FFFFFF"/>
          <w:sz w:val="22"/>
          <w:szCs w:val="22"/>
          <w:lang w:eastAsia="en-GB"/>
        </w:rPr>
        <w:t>Yes</w:t>
      </w:r>
    </w:p>
    <w:p w14:paraId="6DB59D2C" w14:textId="77777777" w:rsidR="00D67302" w:rsidRPr="00CA0374" w:rsidRDefault="00D67302" w:rsidP="00D67302">
      <w:pPr>
        <w:shd w:val="clear" w:color="auto" w:fill="F0F0F0"/>
        <w:spacing w:after="375"/>
        <w:rPr>
          <w:rFonts w:ascii="Calibri" w:hAnsi="Calibri" w:cs="Calibri"/>
          <w:color w:val="333333"/>
          <w:sz w:val="22"/>
          <w:szCs w:val="22"/>
          <w:lang w:eastAsia="en-GB"/>
        </w:rPr>
      </w:pPr>
      <w:r w:rsidRPr="00CA0374">
        <w:rPr>
          <w:rFonts w:ascii="Calibri" w:hAnsi="Calibri" w:cs="Calibri"/>
          <w:color w:val="333333"/>
          <w:sz w:val="22"/>
          <w:szCs w:val="22"/>
          <w:lang w:eastAsia="en-GB"/>
        </w:rPr>
        <w:t>Could you reasonably expect 200 people to be on the premises at the same time?</w:t>
      </w:r>
    </w:p>
    <w:p w14:paraId="6B5B8550" w14:textId="77777777" w:rsidR="00D67302" w:rsidRPr="00CA0374" w:rsidRDefault="00D67302" w:rsidP="00D67302">
      <w:pPr>
        <w:shd w:val="clear" w:color="auto" w:fill="F0F0F0"/>
        <w:rPr>
          <w:rFonts w:ascii="Calibri" w:hAnsi="Calibri" w:cs="Calibri"/>
          <w:color w:val="333333"/>
          <w:sz w:val="22"/>
          <w:szCs w:val="22"/>
          <w:lang w:eastAsia="en-GB"/>
        </w:rPr>
      </w:pPr>
      <w:hyperlink r:id="rId7" w:tgtFrame="_blank" w:history="1">
        <w:r w:rsidRPr="00CA0374">
          <w:rPr>
            <w:rFonts w:ascii="Calibri" w:hAnsi="Calibri" w:cs="Calibri"/>
            <w:color w:val="EE454D"/>
            <w:sz w:val="22"/>
            <w:szCs w:val="22"/>
            <w:lang w:eastAsia="en-GB"/>
          </w:rPr>
          <w:t>The Act</w:t>
        </w:r>
      </w:hyperlink>
      <w:r w:rsidRPr="00CA0374">
        <w:rPr>
          <w:rFonts w:ascii="Calibri" w:hAnsi="Calibri" w:cs="Calibri"/>
          <w:color w:val="333333"/>
          <w:sz w:val="22"/>
          <w:szCs w:val="22"/>
          <w:lang w:eastAsia="en-GB"/>
        </w:rPr>
        <w:t> specifies that premises within the standard tier will reasonably expect from time to time to have a maximum number of between 200 to 799 individuals (including  staff) at the same time in connection with one or more Schedule 1 uses. For enhanced tier premises or qualifying events, it is 800 or more individuals (including staff).</w:t>
      </w:r>
    </w:p>
    <w:p w14:paraId="3116304B" w14:textId="77777777" w:rsidR="00D67302" w:rsidRPr="00CA0374" w:rsidRDefault="00D67302" w:rsidP="00D67302">
      <w:pPr>
        <w:shd w:val="clear" w:color="auto" w:fill="144EA1"/>
        <w:jc w:val="right"/>
        <w:rPr>
          <w:rFonts w:ascii="Calibri" w:hAnsi="Calibri" w:cs="Calibri"/>
          <w:color w:val="FFFFFF"/>
          <w:sz w:val="22"/>
          <w:szCs w:val="22"/>
          <w:lang w:eastAsia="en-GB"/>
        </w:rPr>
      </w:pPr>
      <w:r w:rsidRPr="00CA0374">
        <w:rPr>
          <w:rFonts w:ascii="Calibri" w:hAnsi="Calibri" w:cs="Calibri"/>
          <w:color w:val="FFFFFF"/>
          <w:sz w:val="22"/>
          <w:szCs w:val="22"/>
          <w:lang w:eastAsia="en-GB"/>
        </w:rPr>
        <w:t>No</w:t>
      </w:r>
    </w:p>
    <w:p w14:paraId="3B478C2E" w14:textId="77777777" w:rsidR="00D67302" w:rsidRPr="00CA0374" w:rsidRDefault="00D67302" w:rsidP="00D67302">
      <w:pPr>
        <w:shd w:val="clear" w:color="auto" w:fill="F0F0F0"/>
        <w:rPr>
          <w:rFonts w:ascii="Calibri" w:hAnsi="Calibri" w:cs="Calibri"/>
          <w:color w:val="333333"/>
          <w:sz w:val="22"/>
          <w:szCs w:val="22"/>
          <w:lang w:eastAsia="en-GB"/>
        </w:rPr>
      </w:pPr>
      <w:r w:rsidRPr="00CA0374">
        <w:rPr>
          <w:rFonts w:ascii="Calibri" w:hAnsi="Calibri" w:cs="Calibri"/>
          <w:color w:val="333333"/>
          <w:sz w:val="22"/>
          <w:szCs w:val="22"/>
          <w:lang w:eastAsia="en-GB"/>
        </w:rPr>
        <w:t>Out of scope</w:t>
      </w:r>
    </w:p>
    <w:p w14:paraId="5A3129CD" w14:textId="77777777" w:rsidR="003C0A81" w:rsidRPr="00CA0374" w:rsidRDefault="003C0A81" w:rsidP="005D6EA5">
      <w:pPr>
        <w:jc w:val="both"/>
        <w:rPr>
          <w:rFonts w:ascii="Calibri" w:hAnsi="Calibri" w:cs="Calibri"/>
          <w:b/>
          <w:sz w:val="22"/>
          <w:szCs w:val="22"/>
        </w:rPr>
      </w:pPr>
    </w:p>
    <w:p w14:paraId="26D2AE94" w14:textId="77777777" w:rsidR="003C0A81" w:rsidRPr="00CA0374" w:rsidRDefault="003C0A81" w:rsidP="005D6EA5">
      <w:pPr>
        <w:jc w:val="both"/>
        <w:rPr>
          <w:rFonts w:ascii="Calibri" w:hAnsi="Calibri" w:cs="Calibri"/>
          <w:b/>
          <w:sz w:val="22"/>
          <w:szCs w:val="22"/>
        </w:rPr>
      </w:pPr>
    </w:p>
    <w:p w14:paraId="7E80DABD" w14:textId="77777777" w:rsidR="003C0A81" w:rsidRPr="00CA0374" w:rsidRDefault="003C0A81" w:rsidP="005D6EA5">
      <w:pPr>
        <w:jc w:val="both"/>
        <w:rPr>
          <w:rFonts w:ascii="Calibri" w:hAnsi="Calibri" w:cs="Calibri"/>
          <w:b/>
          <w:sz w:val="22"/>
          <w:szCs w:val="22"/>
        </w:rPr>
      </w:pPr>
    </w:p>
    <w:sectPr w:rsidR="003C0A81" w:rsidRPr="00CA03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774C"/>
    <w:multiLevelType w:val="hybridMultilevel"/>
    <w:tmpl w:val="C3924F80"/>
    <w:lvl w:ilvl="0" w:tplc="6F78E714">
      <w:start w:val="1"/>
      <w:numFmt w:val="decimal"/>
      <w:lvlText w:val="%1."/>
      <w:lvlJc w:val="left"/>
      <w:rPr>
        <w:rFonts w:asciiTheme="minorHAnsi" w:hAnsiTheme="minorHAnsi" w:cstheme="minorHAnsi" w:hint="default"/>
        <w:b/>
        <w:i w:val="0"/>
        <w:color w:val="auto"/>
        <w:sz w:val="24"/>
        <w:szCs w:val="24"/>
      </w:rPr>
    </w:lvl>
    <w:lvl w:ilvl="1" w:tplc="08090019">
      <w:start w:val="1"/>
      <w:numFmt w:val="lowerLetter"/>
      <w:lvlText w:val="%2."/>
      <w:lvlJc w:val="left"/>
      <w:pPr>
        <w:ind w:left="5617" w:hanging="360"/>
      </w:pPr>
    </w:lvl>
    <w:lvl w:ilvl="2" w:tplc="0809001B" w:tentative="1">
      <w:start w:val="1"/>
      <w:numFmt w:val="lowerRoman"/>
      <w:lvlText w:val="%3."/>
      <w:lvlJc w:val="right"/>
      <w:pPr>
        <w:ind w:left="6337" w:hanging="180"/>
      </w:pPr>
    </w:lvl>
    <w:lvl w:ilvl="3" w:tplc="0809000F" w:tentative="1">
      <w:start w:val="1"/>
      <w:numFmt w:val="decimal"/>
      <w:lvlText w:val="%4."/>
      <w:lvlJc w:val="left"/>
      <w:pPr>
        <w:ind w:left="7057" w:hanging="360"/>
      </w:pPr>
    </w:lvl>
    <w:lvl w:ilvl="4" w:tplc="08090019" w:tentative="1">
      <w:start w:val="1"/>
      <w:numFmt w:val="lowerLetter"/>
      <w:lvlText w:val="%5."/>
      <w:lvlJc w:val="left"/>
      <w:pPr>
        <w:ind w:left="7777" w:hanging="360"/>
      </w:pPr>
    </w:lvl>
    <w:lvl w:ilvl="5" w:tplc="0809001B" w:tentative="1">
      <w:start w:val="1"/>
      <w:numFmt w:val="lowerRoman"/>
      <w:lvlText w:val="%6."/>
      <w:lvlJc w:val="right"/>
      <w:pPr>
        <w:ind w:left="8497" w:hanging="180"/>
      </w:pPr>
    </w:lvl>
    <w:lvl w:ilvl="6" w:tplc="0809000F" w:tentative="1">
      <w:start w:val="1"/>
      <w:numFmt w:val="decimal"/>
      <w:lvlText w:val="%7."/>
      <w:lvlJc w:val="left"/>
      <w:pPr>
        <w:ind w:left="9217" w:hanging="360"/>
      </w:pPr>
    </w:lvl>
    <w:lvl w:ilvl="7" w:tplc="08090019" w:tentative="1">
      <w:start w:val="1"/>
      <w:numFmt w:val="lowerLetter"/>
      <w:lvlText w:val="%8."/>
      <w:lvlJc w:val="left"/>
      <w:pPr>
        <w:ind w:left="9937" w:hanging="360"/>
      </w:pPr>
    </w:lvl>
    <w:lvl w:ilvl="8" w:tplc="0809001B" w:tentative="1">
      <w:start w:val="1"/>
      <w:numFmt w:val="lowerRoman"/>
      <w:lvlText w:val="%9."/>
      <w:lvlJc w:val="right"/>
      <w:pPr>
        <w:ind w:left="10657" w:hanging="180"/>
      </w:pPr>
    </w:lvl>
  </w:abstractNum>
  <w:abstractNum w:abstractNumId="1" w15:restartNumberingAfterBreak="0">
    <w:nsid w:val="2E3C0236"/>
    <w:multiLevelType w:val="hybridMultilevel"/>
    <w:tmpl w:val="62AAB2D0"/>
    <w:lvl w:ilvl="0" w:tplc="5F4C8326">
      <w:start w:val="1"/>
      <w:numFmt w:val="decimal"/>
      <w:lvlText w:val="%1."/>
      <w:lvlJc w:val="left"/>
      <w:pPr>
        <w:ind w:left="720" w:hanging="360"/>
      </w:pPr>
      <w:rPr>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4775654">
    <w:abstractNumId w:val="0"/>
  </w:num>
  <w:num w:numId="2" w16cid:durableId="1609849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A5"/>
    <w:rsid w:val="003C0A81"/>
    <w:rsid w:val="005D6EA5"/>
    <w:rsid w:val="007A69C2"/>
    <w:rsid w:val="00803AE6"/>
    <w:rsid w:val="00813B29"/>
    <w:rsid w:val="008F4617"/>
    <w:rsid w:val="009436A0"/>
    <w:rsid w:val="00A037D0"/>
    <w:rsid w:val="00B17111"/>
    <w:rsid w:val="00B44DFE"/>
    <w:rsid w:val="00CA0374"/>
    <w:rsid w:val="00D67302"/>
    <w:rsid w:val="00EB60E3"/>
    <w:rsid w:val="00F24F28"/>
    <w:rsid w:val="00FD16E3"/>
    <w:rsid w:val="00FD5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FA6F7"/>
  <w15:chartTrackingRefBased/>
  <w15:docId w15:val="{69003E1E-7C17-4854-B206-D46ACF262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EA5"/>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uiPriority w:val="9"/>
    <w:qFormat/>
    <w:rsid w:val="005D6E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E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E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E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E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EA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EA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EA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EA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E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E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E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E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E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E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E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E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EA5"/>
    <w:rPr>
      <w:rFonts w:eastAsiaTheme="majorEastAsia" w:cstheme="majorBidi"/>
      <w:color w:val="272727" w:themeColor="text1" w:themeTint="D8"/>
    </w:rPr>
  </w:style>
  <w:style w:type="paragraph" w:styleId="Title">
    <w:name w:val="Title"/>
    <w:basedOn w:val="Normal"/>
    <w:next w:val="Normal"/>
    <w:link w:val="TitleChar"/>
    <w:uiPriority w:val="10"/>
    <w:qFormat/>
    <w:rsid w:val="005D6E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E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EA5"/>
    <w:pPr>
      <w:spacing w:before="160"/>
      <w:jc w:val="center"/>
    </w:pPr>
    <w:rPr>
      <w:i/>
      <w:iCs/>
      <w:color w:val="404040" w:themeColor="text1" w:themeTint="BF"/>
    </w:rPr>
  </w:style>
  <w:style w:type="character" w:customStyle="1" w:styleId="QuoteChar">
    <w:name w:val="Quote Char"/>
    <w:basedOn w:val="DefaultParagraphFont"/>
    <w:link w:val="Quote"/>
    <w:uiPriority w:val="29"/>
    <w:rsid w:val="005D6EA5"/>
    <w:rPr>
      <w:i/>
      <w:iCs/>
      <w:color w:val="404040" w:themeColor="text1" w:themeTint="BF"/>
    </w:rPr>
  </w:style>
  <w:style w:type="paragraph" w:styleId="ListParagraph">
    <w:name w:val="List Paragraph"/>
    <w:basedOn w:val="Normal"/>
    <w:uiPriority w:val="34"/>
    <w:qFormat/>
    <w:rsid w:val="005D6EA5"/>
    <w:pPr>
      <w:ind w:left="720"/>
      <w:contextualSpacing/>
    </w:pPr>
  </w:style>
  <w:style w:type="character" w:styleId="IntenseEmphasis">
    <w:name w:val="Intense Emphasis"/>
    <w:basedOn w:val="DefaultParagraphFont"/>
    <w:uiPriority w:val="21"/>
    <w:qFormat/>
    <w:rsid w:val="005D6EA5"/>
    <w:rPr>
      <w:i/>
      <w:iCs/>
      <w:color w:val="0F4761" w:themeColor="accent1" w:themeShade="BF"/>
    </w:rPr>
  </w:style>
  <w:style w:type="paragraph" w:styleId="IntenseQuote">
    <w:name w:val="Intense Quote"/>
    <w:basedOn w:val="Normal"/>
    <w:next w:val="Normal"/>
    <w:link w:val="IntenseQuoteChar"/>
    <w:uiPriority w:val="30"/>
    <w:qFormat/>
    <w:rsid w:val="005D6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EA5"/>
    <w:rPr>
      <w:i/>
      <w:iCs/>
      <w:color w:val="0F4761" w:themeColor="accent1" w:themeShade="BF"/>
    </w:rPr>
  </w:style>
  <w:style w:type="character" w:styleId="IntenseReference">
    <w:name w:val="Intense Reference"/>
    <w:basedOn w:val="DefaultParagraphFont"/>
    <w:uiPriority w:val="32"/>
    <w:qFormat/>
    <w:rsid w:val="005D6EA5"/>
    <w:rPr>
      <w:b/>
      <w:bCs/>
      <w:smallCaps/>
      <w:color w:val="0F4761" w:themeColor="accent1" w:themeShade="BF"/>
      <w:spacing w:val="5"/>
    </w:rPr>
  </w:style>
  <w:style w:type="paragraph" w:styleId="NormalWeb">
    <w:name w:val="Normal (Web)"/>
    <w:basedOn w:val="Normal"/>
    <w:uiPriority w:val="99"/>
    <w:unhideWhenUsed/>
    <w:rsid w:val="007A69C2"/>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3958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slation.gov.uk/ukpga/2025/10/section/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lation.gov.uk/ukpga/2025/10/schedule/1" TargetMode="External"/><Relationship Id="rId5" Type="http://schemas.openxmlformats.org/officeDocument/2006/relationships/hyperlink" Target="https://www.legislation.gov.uk/ukpga/2025/10/section/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Knowles</dc:creator>
  <cp:keywords/>
  <dc:description/>
  <cp:lastModifiedBy>Sarah Knowles</cp:lastModifiedBy>
  <cp:revision>3</cp:revision>
  <dcterms:created xsi:type="dcterms:W3CDTF">2026-07-30T15:19:00Z</dcterms:created>
  <dcterms:modified xsi:type="dcterms:W3CDTF">2026-07-30T15:19:00Z</dcterms:modified>
</cp:coreProperties>
</file>